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673-т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таблицу 1 приложения к приказу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29 ноября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2020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135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е, которо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таблицу 1 приложения к приказу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29 ноября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2020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135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филиалу акционерного общества «Ямалкоммунэнерго» в Тазовском районе тарифов на горячую воду для расчетов с потребителями микрорайона Маргулова поселка Тазовский муниципального образования муниципальный округ Тазовский район Ямало-Ненецкого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автономного округа, на 2020 - 2025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85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673-т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ое вноси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тся в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таблицу 1 приложения к приказу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департаме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автономного окр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29 ноября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2020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135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jc w:val="both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  <w:tab/>
        <w:t xml:space="preserve">Таблицу 1 изложить в следующей редакции: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13746" w:right="-283" w:firstLine="0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      «</w:t>
      </w:r>
      <w:r>
        <w:rPr>
          <w:rFonts w:ascii="Liberation Sans" w:hAnsi="Liberation Sans" w:cs="Liberation Sans"/>
          <w:color w:val="000000" w:themeColor="text1"/>
          <w:sz w:val="24"/>
          <w:szCs w:val="28"/>
          <w:highlight w:val="none"/>
        </w:rPr>
        <w:t xml:space="preserve">Таблица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/>
    </w:p>
    <w:tbl>
      <w:tblPr>
        <w:tblpPr w:horzAnchor="margin" w:tblpXSpec="center" w:vertAnchor="text" w:tblpY="125" w:leftFromText="180" w:topFromText="0" w:rightFromText="180" w:bottomFromText="0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3"/>
        <w:gridCol w:w="3051"/>
        <w:gridCol w:w="1155"/>
        <w:gridCol w:w="3327"/>
        <w:gridCol w:w="3329"/>
        <w:gridCol w:w="3391"/>
      </w:tblGrid>
      <w:tr>
        <w:trPr/>
        <w:tc>
          <w:tcPr>
            <w:tcBorders>
              <w:bottom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№ п/п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05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Потребители коммунальных ресурсов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Год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Тариф на горячую воду,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руб./м3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Компонент на тепловую энергию, руб./Гкал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Компонент на холодную воду,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руб./м3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3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4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5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6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</w:tr>
      <w:tr>
        <w:trPr>
          <w:cantSplit/>
          <w:trHeight w:val="23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1.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руб./м3 </w:t>
            </w: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(без НДС)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01.12.2020 по 31.12.2020 – 655,59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01.12.2020 по 31.12.2020 – 6358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01.12.2020 по </w:t>
            </w: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31.12.2</w:t>
            </w: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020 – 218,48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</w:tr>
      <w:tr>
        <w:trPr>
          <w:cantSplit/>
          <w:trHeight w:val="66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01.01.2021 по 30.06.2021 – 655,59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01.07.2021 по 31.12.2021 – 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01.01.2021 по 30.06.2021 – 6358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01.07.2021 по 31.12.2021 – 6420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01.01.2021 по 30.06.2021 - 218,48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01.07.2021 по 09.10.2021 - 244,76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10.10.2021 по 31.12.2</w:t>
            </w: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021 - 2</w:t>
            </w: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74,13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</w:tr>
      <w:tr>
        <w:trPr>
          <w:cantSplit/>
          <w:trHeight w:val="51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2022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01.01.2022 по 30.06.2022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01.07.2022 по 31.12.2022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с 01.01.2022 по 30.06.2022 – 6420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с 01.07.2022 по 30.11.2022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6985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с 01.12.2022 по 31.12.2022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7273</w:t>
            </w:r>
            <w:r>
              <w:rPr>
                <w:rFonts w:ascii="Liberation Sans" w:hAnsi="Liberation Sans" w:cs="Liberation Sans"/>
                <w:color w:val="000000"/>
                <w:sz w:val="18"/>
                <w:szCs w:val="18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с 01.01.2022 по 30.06.2022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274,13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с 01.07.2022 по 31.12.2022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314,06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с 01.12.2022 по 31.12.2022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362,07</w:t>
            </w:r>
            <w:r>
              <w:rPr>
                <w:rFonts w:ascii="Liberation Sans" w:hAnsi="Liberation Sans" w:cs="Liberation Sans"/>
                <w:color w:val="000000"/>
                <w:sz w:val="18"/>
                <w:szCs w:val="18"/>
                <w:highlight w:val="white"/>
              </w:rPr>
            </w:r>
            <w:r/>
          </w:p>
        </w:tc>
      </w:tr>
      <w:tr>
        <w:trPr>
          <w:cantSplit/>
          <w:trHeight w:val="55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2023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01.01.2023 по 30.06.2023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</w:t>
            </w: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01.07.2023 по 31.12.2023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с 01.01.2023 по 31.12.2023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7273</w:t>
            </w:r>
            <w:r>
              <w:rPr>
                <w:rFonts w:ascii="Liberation Sans" w:hAnsi="Liberation Sans" w:cs="Liberation Sans"/>
                <w:color w:val="000000"/>
                <w:sz w:val="18"/>
                <w:szCs w:val="18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с 01.01.2023 по 31.12.2023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362,07</w:t>
            </w:r>
            <w:r>
              <w:rPr>
                <w:rFonts w:ascii="Liberation Sans" w:hAnsi="Liberation Sans" w:cs="Liberation Sans"/>
                <w:color w:val="000000"/>
                <w:sz w:val="18"/>
                <w:szCs w:val="18"/>
                <w:highlight w:val="white"/>
              </w:rPr>
            </w:r>
            <w:r/>
          </w:p>
        </w:tc>
      </w:tr>
      <w:tr>
        <w:trPr>
          <w:cantSplit/>
          <w:trHeight w:val="56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2024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01.01.2024 по 30.06.2024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01.07.2024 по 31.12.2024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01.01.2024 по 30.06.20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24 – 7254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01.07.2024 по 31.12.2024 – 7254</w:t>
            </w: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01.01.2024 по 30.06.2024 – 362,07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01.07.2024 по 31.12.2024 – 425,43</w:t>
            </w: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r>
            <w:r/>
          </w:p>
        </w:tc>
      </w:tr>
      <w:tr>
        <w:trPr>
          <w:cantSplit/>
          <w:trHeight w:val="40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2025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01.01.2025 по 30.06.2025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01.07.2025 по 31.12.2025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01.01.2025 по 30.06.2025 – 7254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01.07.2025 по 31.12.2025 – 8593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.2025 по 30.06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.2025 – 373,99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373,99</w:t>
            </w: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2.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Потребители, имеющие право на льготные тарифы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instrText xml:space="preserve">HYPERLINK consultantplus://offline/ref=A2787EE4E6ABC20B4F79025B5B987B7392484D54B26746B9BF2C5713AA0E1379695BEEE528F61A6702A62EECI1F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&lt;*&gt;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eastAsia="Liberation Serif" w:cs="Liberation Sans"/>
                <w:color w:val="000000" w:themeColor="text1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руб./м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3 (без НДС)</w:t>
            </w:r>
            <w:r>
              <w:rPr>
                <w:rFonts w:ascii="Liberation Sans" w:hAnsi="Liberation Sans" w:cs="Liberation Sans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01.12.2020 по 31.12.2020 – 125,48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  <w:color w:val="000000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01.12.2020 по 31.12.2020 – 1264,48</w:t>
            </w: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  <w:color w:val="000000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01.12.2020 по 31.12.2020 – 43,78</w:t>
            </w: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36"/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01.01.2021 по 30.06.2021 – 125,48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01.07.2021 по 31.12.2021 – 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36"/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01.01.2021 по 30.06.2021 – 1264,48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01.07.2021 по 31.12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.2021 –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 1307,47</w:t>
            </w: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36"/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01.01.2021 по 30.06.2021 – 43,78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01.07.2021 по 31.12.2021 – 43,78</w:t>
            </w: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2022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36"/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01.01.2022 по 30.06.2022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01.07.2022 по 31.12.2022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36"/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01.01.2022 по 30.06.2022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1307,47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01.07.2022 по 30.11.2022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1351,9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/>
                <w:highlight w:val="non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01.12.2022 по 31.12.2022 – 1473,58</w:t>
            </w:r>
            <w:r>
              <w:rPr>
                <w:rFonts w:ascii="Liberation Sans" w:hAnsi="Liberation Sans" w:cs="Liberation Sans"/>
                <w:color w:val="000000"/>
                <w:sz w:val="18"/>
                <w:szCs w:val="1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36"/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01.01.2022 по 30.06.2022 – 43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,78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7.2022 по 30.11.2022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46,80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/>
                <w:highlight w:val="non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01.12.2022 по 31.12.2022 – 51,01</w:t>
            </w:r>
            <w:r>
              <w:rPr>
                <w:rFonts w:ascii="Liberation Sans" w:hAnsi="Liberation Sans" w:cs="Liberation Sans"/>
                <w:color w:val="000000"/>
                <w:sz w:val="18"/>
                <w:szCs w:val="18"/>
                <w:highlight w:val="none"/>
              </w:rPr>
            </w:r>
            <w:r/>
          </w:p>
        </w:tc>
      </w:tr>
      <w:tr>
        <w:trPr>
          <w:cantSplit/>
          <w:trHeight w:val="58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2023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36"/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01.01.2023 по 30.06.2023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01.07.2023 по 31.12.2023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с 01.01.2023 по 31.12.2023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 – 1473,58</w:t>
            </w: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с 01.01.2023 по 31.12.2023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 – 51,01</w:t>
            </w: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r>
            <w:r/>
          </w:p>
        </w:tc>
      </w:tr>
      <w:tr>
        <w:trPr>
          <w:cantSplit/>
          <w:trHeight w:val="67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2024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36"/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01.01.2024 по 30.06.2024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01.07.2024 по 31.12.2024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36"/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1473,58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01.07.2024 по 31.12.2024 – 1591,47</w:t>
            </w: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36"/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01.01.2024 по 30.06.2024 – 51,01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01.07.2024 по 31.12.2024 – 55,08</w:t>
            </w: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r>
            <w:r/>
          </w:p>
        </w:tc>
      </w:tr>
      <w:tr>
        <w:trPr>
          <w:cantSplit/>
          <w:trHeight w:val="62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2025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36"/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01.01.2025 по 30.06.2025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01.07.2025 по 31.12.2025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36"/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1591,47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01.07.2025 по 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1.12.2025 – 1717,19</w:t>
            </w: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36"/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55,08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01.07.2025 по 31.12.2025 – 55,08</w:t>
            </w: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3.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instrText xml:space="preserve">HYPERLINK consultantplus://offline/ref=437D7E286C2EEB09A9A2DDA9583EBA80A2A05C43B7616C40FC3A16F178ED6711A719FDECDCDFAB027659BCk0I2F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Liberation Sans" w:hAnsi="Liberation Sans" w:cs="Liberation Sans"/>
                <w:color w:val="000000" w:themeColor="text1"/>
                <w:sz w:val="18"/>
                <w:szCs w:val="18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color w:val="000000" w:themeColor="text1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руб./м3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(включая НДС)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instrText xml:space="preserve">HYPERLINK co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instrText xml:space="preserve">nsultantplus://offline/ref=437D7E286C2EEB09A9A2DDA9583EBA80A2A05C43B7616C40FC3A16F178ED6711A719FDECDCDFAB027659BCk0I3F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&lt;***&gt;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Liberation Sans" w:hAnsi="Liberation Sans" w:cs="Liberation Sans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01.12.2020 по 31.12.2020 – 150,57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  <w:color w:val="000000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01.12.2020 по 31.12.2020 – 1517,37</w:t>
            </w: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  <w:color w:val="000000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01.12.2020 по 31.12.2020 – 52,54</w:t>
            </w: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36"/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</w:t>
            </w: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.2021 по 30.06.2021 – 150,57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01.07.2021 по 31.12.2021 – 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36"/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01.01.2021 по 30.06.2021 – 1517,37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01.07.2021 по 31.12.2021 – 1568,96</w:t>
            </w: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36"/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01.01.2021 по 30.06.2021 – 52,54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01.07.2021 по 31.12.2021 – 52,54</w:t>
            </w: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2022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36"/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01.01.2022 по 30.06.2022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01.07.2022 по 3</w:t>
            </w: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1.12.2022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36"/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01.01.2022 по 30.06.2022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1568,96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01.07.2022 по 30.11.2022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16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,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30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/>
                <w:highlight w:val="non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01.12.2022 по 31.12.2022 – 1768,30</w:t>
            </w:r>
            <w:r>
              <w:rPr>
                <w:rFonts w:ascii="Liberation Sans" w:hAnsi="Liberation Sans" w:cs="Liberation Sans"/>
                <w:color w:val="000000"/>
                <w:sz w:val="18"/>
                <w:szCs w:val="1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36"/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01.01.2022 по 30.06.2022 – 52,54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01.07.2022 по 30.11.2022 –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 56,16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/>
                <w:highlight w:val="non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01.12.2022 по 31.12.2022 – 61,21</w:t>
            </w:r>
            <w:r>
              <w:rPr>
                <w:rFonts w:ascii="Liberation Sans" w:hAnsi="Liberation Sans" w:cs="Liberation Sans"/>
                <w:color w:val="000000"/>
                <w:sz w:val="18"/>
                <w:szCs w:val="18"/>
                <w:highlight w:val="non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2023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36"/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01.01.2023 по 30.06.2023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01.07.2023 по 31.12.2023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с 01.01.2023 по 31.12.2023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 – 1768,30</w:t>
            </w: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  <w:highlight w:val="white"/>
              </w:rPr>
              <w:t xml:space="preserve">с 01.01.2023 по 31.12.2023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 – 61,21</w:t>
            </w: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2024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36"/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01.01.2024 по 30.06.2024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01.07.2024 по 31.12.2024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36"/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1768,30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01.07.2024 по 31.12.2024 – 1909,76</w:t>
            </w: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36"/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01.01.2024 по 30.06.2024 – 61,21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01.07.2024 по 31.12.2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024 – 66,10</w:t>
            </w: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3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1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2025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7" w:type="dxa"/>
            <w:vAlign w:val="center"/>
            <w:textDirection w:val="lrTb"/>
            <w:noWrap w:val="false"/>
          </w:tcPr>
          <w:p>
            <w:pPr>
              <w:pStyle w:val="836"/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01.01.2025 по 30.06.2025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18"/>
                <w:szCs w:val="18"/>
              </w:rPr>
              <w:t xml:space="preserve">с 01.07.2025 по 31.12.2025 –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29" w:type="dxa"/>
            <w:vAlign w:val="center"/>
            <w:textDirection w:val="lrTb"/>
            <w:noWrap w:val="false"/>
          </w:tcPr>
          <w:p>
            <w:pPr>
              <w:pStyle w:val="836"/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1909,76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01.07.2025 по 31.12.2025 – 2060,63</w:t>
            </w: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91" w:type="dxa"/>
            <w:vAlign w:val="center"/>
            <w:textDirection w:val="lrTb"/>
            <w:noWrap w:val="false"/>
          </w:tcPr>
          <w:p>
            <w:pPr>
              <w:pStyle w:val="836"/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66,10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18"/>
                <w:szCs w:val="18"/>
              </w:rPr>
              <w:t xml:space="preserve">с 01.07.2025 по 31.12.2025 – 66,10</w:t>
            </w: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r>
            <w:r/>
          </w:p>
        </w:tc>
      </w:tr>
    </w:tbl>
    <w:p>
      <w:pPr>
        <w:ind w:left="0" w:right="-141" w:firstLine="708"/>
        <w:jc w:val="both"/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</w:pP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8"/>
            <w:szCs w:val="18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8"/>
          <w:szCs w:val="18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.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none"/>
        </w:rPr>
      </w:r>
      <w:r/>
    </w:p>
    <w:p>
      <w:pPr>
        <w:ind w:left="0" w:right="-141" w:firstLine="708"/>
        <w:jc w:val="both"/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</w:pP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8"/>
            <w:szCs w:val="18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8"/>
          <w:szCs w:val="18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».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none"/>
        </w:rPr>
      </w:r>
      <w:r/>
    </w:p>
    <w:p>
      <w:pPr>
        <w:ind w:left="0" w:right="-141" w:firstLine="708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о кодекса Российской Федерации (часть вторая).</w:t>
        <w:tab/>
        <w:tab/>
      </w:r>
      <w:r>
        <w:rPr>
          <w:rFonts w:ascii="Liberation Sans" w:hAnsi="Liberation Sans" w:eastAsia="Liberation Serif" w:cs="Liberation Sans"/>
          <w:color w:val="000000" w:themeColor="text1"/>
        </w:rPr>
        <w:tab/>
        <w:t xml:space="preserve">                                       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».</w:t>
        <w:tab/>
        <w:tab/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35</cp:revision>
  <dcterms:modified xsi:type="dcterms:W3CDTF">2024-12-25T13:32:39Z</dcterms:modified>
</cp:coreProperties>
</file>